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AFE" w:rsidRPr="0010117B" w:rsidRDefault="00F67AFE" w:rsidP="00F67AFE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117B">
        <w:rPr>
          <w:rFonts w:ascii="Times New Roman" w:hAnsi="Times New Roman" w:cs="Times New Roman"/>
          <w:b/>
          <w:sz w:val="32"/>
          <w:szCs w:val="32"/>
          <w:lang w:val="uk-UA"/>
        </w:rPr>
        <w:t>Лабораторні заняття з</w:t>
      </w:r>
    </w:p>
    <w:p w:rsidR="00F67AFE" w:rsidRPr="0010117B" w:rsidRDefault="00F67AFE" w:rsidP="00F67AFE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117B">
        <w:rPr>
          <w:rFonts w:ascii="Times New Roman" w:hAnsi="Times New Roman" w:cs="Times New Roman"/>
          <w:b/>
          <w:sz w:val="32"/>
          <w:szCs w:val="32"/>
          <w:lang w:val="uk-UA"/>
        </w:rPr>
        <w:t>навчальної дисципліни «Вікова анатомія та фізіологія»</w:t>
      </w:r>
    </w:p>
    <w:p w:rsidR="00F67AFE" w:rsidRPr="0010117B" w:rsidRDefault="00F67AFE" w:rsidP="00F67AFE">
      <w:pPr>
        <w:tabs>
          <w:tab w:val="center" w:pos="4677"/>
          <w:tab w:val="left" w:pos="8068"/>
        </w:tabs>
        <w:spacing w:after="0"/>
        <w:contextualSpacing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117B">
        <w:rPr>
          <w:rFonts w:ascii="Times New Roman" w:hAnsi="Times New Roman" w:cs="Times New Roman"/>
          <w:b/>
          <w:sz w:val="32"/>
          <w:szCs w:val="32"/>
          <w:lang w:val="uk-UA"/>
        </w:rPr>
        <w:tab/>
        <w:t>спеціальності 227 Фізична терапія, ерготерапія</w:t>
      </w:r>
    </w:p>
    <w:p w:rsidR="00F67AFE" w:rsidRPr="0010117B" w:rsidRDefault="00F67AFE" w:rsidP="00F67AFE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67AFE" w:rsidRPr="0010117B" w:rsidRDefault="00F67AFE" w:rsidP="00F67AFE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67AFE" w:rsidRPr="0010117B" w:rsidRDefault="00F67AFE" w:rsidP="00F67AFE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117B">
        <w:rPr>
          <w:rFonts w:ascii="Times New Roman" w:hAnsi="Times New Roman" w:cs="Times New Roman"/>
          <w:b/>
          <w:sz w:val="32"/>
          <w:szCs w:val="32"/>
          <w:lang w:val="uk-UA"/>
        </w:rPr>
        <w:t>Вікові особливості будови та функцій аналізаторів</w:t>
      </w:r>
    </w:p>
    <w:p w:rsidR="00F67AFE" w:rsidRPr="0010117B" w:rsidRDefault="00F67AFE" w:rsidP="00F67AFE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F67AFE" w:rsidRPr="0010117B" w:rsidRDefault="00F67AFE" w:rsidP="00F67AFE">
      <w:pPr>
        <w:pStyle w:val="a3"/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b/>
          <w:sz w:val="28"/>
          <w:szCs w:val="28"/>
          <w:lang w:val="uk-UA"/>
        </w:rPr>
        <w:t>Лабораторна робота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</w:t>
      </w:r>
      <w:r w:rsidR="009C334C"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bookmarkStart w:id="0" w:name="_GoBack"/>
      <w:bookmarkEnd w:id="0"/>
    </w:p>
    <w:p w:rsidR="00F67AFE" w:rsidRPr="0010117B" w:rsidRDefault="00F67AFE" w:rsidP="00F67AF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b/>
          <w:sz w:val="28"/>
          <w:szCs w:val="28"/>
          <w:lang w:val="uk-UA"/>
        </w:rPr>
        <w:t>Мета роботи:</w:t>
      </w:r>
      <w:r w:rsidRPr="0010117B">
        <w:rPr>
          <w:rFonts w:ascii="Times New Roman" w:hAnsi="Times New Roman" w:cs="Times New Roman"/>
          <w:sz w:val="28"/>
          <w:szCs w:val="28"/>
          <w:lang w:val="uk-UA"/>
        </w:rPr>
        <w:t xml:space="preserve"> вивчити будову та вікові особливості смакового аналізатор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0117B">
        <w:rPr>
          <w:rFonts w:ascii="Times New Roman" w:hAnsi="Times New Roman" w:cs="Times New Roman"/>
          <w:sz w:val="28"/>
          <w:szCs w:val="28"/>
          <w:lang w:val="uk-UA"/>
        </w:rPr>
        <w:t xml:space="preserve">, опанувати методики дослідження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смакового</w:t>
      </w:r>
      <w:r w:rsidRPr="0010117B">
        <w:rPr>
          <w:rFonts w:ascii="Times New Roman" w:hAnsi="Times New Roman" w:cs="Times New Roman"/>
          <w:sz w:val="28"/>
          <w:szCs w:val="28"/>
          <w:lang w:val="uk-UA"/>
        </w:rPr>
        <w:t xml:space="preserve"> аналізатор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011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7AFE" w:rsidRPr="0010117B" w:rsidRDefault="00F67AFE" w:rsidP="00F67AF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7AFE" w:rsidRPr="0010117B" w:rsidRDefault="00F67AFE" w:rsidP="00F67AFE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10117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Теоретична частина</w:t>
      </w:r>
    </w:p>
    <w:p w:rsidR="00F67AFE" w:rsidRPr="0010117B" w:rsidRDefault="00F67AFE" w:rsidP="00F67AF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b/>
          <w:i/>
          <w:sz w:val="28"/>
          <w:szCs w:val="28"/>
          <w:lang w:val="uk-UA"/>
        </w:rPr>
        <w:t>Смак у дітей.</w:t>
      </w:r>
      <w:r w:rsidRPr="0010117B">
        <w:rPr>
          <w:rFonts w:ascii="Times New Roman" w:hAnsi="Times New Roman" w:cs="Times New Roman"/>
          <w:sz w:val="28"/>
          <w:szCs w:val="28"/>
          <w:lang w:val="uk-UA"/>
        </w:rPr>
        <w:t xml:space="preserve"> Новонародженим властиві всі 4 відчуття смаку і вони відрізняють приємний смак від неприємного. У момент народження рецептори смаку реагують краще нюхових. Смакова чутливість у новонароджених до гіркого, кислого і особливо до солодкого менша, ніж у дорослих. На солодкі розчини новонароджений реагує смоктанням і ковтанням; на гіркі, кислі і солоні – скороченнями мімічних м’язів. Особливо добре викликаються вроджені рухові рефлекси при дії розчинів, що дають відчуття солодкого й гіркого.</w:t>
      </w:r>
    </w:p>
    <w:p w:rsidR="00F67AFE" w:rsidRPr="0010117B" w:rsidRDefault="00F67AFE" w:rsidP="00F67AF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Із 2 до 6 років смакова чутливість збільшується, у школярів вона мало</w:t>
      </w:r>
    </w:p>
    <w:p w:rsidR="00F67AFE" w:rsidRPr="0010117B" w:rsidRDefault="00F67AFE" w:rsidP="00F67AF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відрізняється від дорослих, до старості вона зменшується. З віком в нормальних гігієнічних умовах смак тренується і поліпшується. Порушення харчування і хвороби знижують у дітей смакові відчуття.</w:t>
      </w:r>
    </w:p>
    <w:p w:rsidR="00F67AFE" w:rsidRPr="0010117B" w:rsidRDefault="00F67AFE" w:rsidP="00F67AF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7AFE" w:rsidRPr="0010117B" w:rsidRDefault="00F67AFE" w:rsidP="00F67AFE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0117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Практична частина</w:t>
      </w:r>
    </w:p>
    <w:p w:rsidR="00F67AFE" w:rsidRPr="0010117B" w:rsidRDefault="00F67AFE" w:rsidP="00F67AF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7AFE" w:rsidRPr="0010117B" w:rsidRDefault="00F67AFE" w:rsidP="00F67AFE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4. Особливості смакового аналізатору.</w:t>
      </w:r>
    </w:p>
    <w:p w:rsidR="00F67AFE" w:rsidRPr="0010117B" w:rsidRDefault="00F67AFE" w:rsidP="00F67AF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Рецептори смаку розташовані переважно на сосочках язика. Деяка частина смакових рецепторів локалізується в слизовій оболонці м'якого піднебіння, мигдалин, задньої стінки глотки та надгортанника. Існує чотири види смакових рецепторів: ті, що сприймають солоне, солодке, гірке та кисле.</w:t>
      </w:r>
    </w:p>
    <w:p w:rsidR="00F67AFE" w:rsidRPr="0010117B" w:rsidRDefault="00F67AFE" w:rsidP="00F67AF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 xml:space="preserve">До солодкого найбільш чутливий кінчик язика, до гіркого – корінь, до кислого – краї, а до солоного – кінчик і край язика. У деяких сосочках знаходяться смакові бруньки, що дають одне смакове відчуття, а інші – 2–3 і навіть 4. Смак речовини сприймається, коли вона розчинена у воді або слині. Пороги розрізнення смакових речовин зменшуються при переході від </w:t>
      </w:r>
      <w:r w:rsidRPr="0010117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розчинів слабких концентрацій до середніх, а при переході до більш сильних збільшуються. Латентний період різний для різних смакових відчуттів: найкоротший – для солоного і </w:t>
      </w:r>
      <w:proofErr w:type="spellStart"/>
      <w:r w:rsidRPr="0010117B">
        <w:rPr>
          <w:rFonts w:ascii="Times New Roman" w:hAnsi="Times New Roman" w:cs="Times New Roman"/>
          <w:sz w:val="28"/>
          <w:szCs w:val="28"/>
          <w:lang w:val="uk-UA"/>
        </w:rPr>
        <w:t>найтривалий</w:t>
      </w:r>
      <w:proofErr w:type="spellEnd"/>
      <w:r w:rsidRPr="0010117B">
        <w:rPr>
          <w:rFonts w:ascii="Times New Roman" w:hAnsi="Times New Roman" w:cs="Times New Roman"/>
          <w:sz w:val="28"/>
          <w:szCs w:val="28"/>
          <w:lang w:val="uk-UA"/>
        </w:rPr>
        <w:t xml:space="preserve"> – для гіркого. Найбільш швидко настає адаптація до солодкого і повільніше – до кислого і гіркого.</w:t>
      </w:r>
    </w:p>
    <w:p w:rsidR="00F67AFE" w:rsidRPr="0010117B" w:rsidRDefault="00F67AFE" w:rsidP="00F67AF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7AFE" w:rsidRPr="0010117B" w:rsidRDefault="00F67AFE" w:rsidP="00F67AFE">
      <w:pPr>
        <w:tabs>
          <w:tab w:val="left" w:pos="851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10117B">
        <w:rPr>
          <w:rFonts w:ascii="Times New Roman" w:hAnsi="Times New Roman" w:cs="Times New Roman"/>
          <w:sz w:val="28"/>
          <w:szCs w:val="28"/>
          <w:lang w:val="uk-UA"/>
        </w:rPr>
        <w:tab/>
        <w:t>Смаковий аналізатор.</w:t>
      </w:r>
    </w:p>
    <w:p w:rsidR="00F67AFE" w:rsidRPr="0010117B" w:rsidRDefault="00F67AFE" w:rsidP="00F67AF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Замалювати в зошиті будову смакового аналізатора.</w:t>
      </w:r>
    </w:p>
    <w:p w:rsidR="00F67AFE" w:rsidRPr="0010117B" w:rsidRDefault="00F67AFE" w:rsidP="00F67AF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5DE028" wp14:editId="7C6D2B8E">
            <wp:extent cx="1967593" cy="1768511"/>
            <wp:effectExtent l="0" t="0" r="0" b="3175"/>
            <wp:docPr id="7" name="Рисунок 7" descr="C:\Users\Tatyan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atyana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648" cy="177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17B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1011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2CDC4D" wp14:editId="6B0C373C">
            <wp:extent cx="2499413" cy="1797093"/>
            <wp:effectExtent l="0" t="0" r="0" b="0"/>
            <wp:docPr id="8" name="Рисунок 8" descr="C:\Users\Tatyana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Tatyana\Desktop\unnam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460" cy="180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AFE" w:rsidRPr="0010117B" w:rsidRDefault="00F67AFE" w:rsidP="00F67AF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7AFE" w:rsidRPr="0010117B" w:rsidRDefault="00F67AFE" w:rsidP="00F67AFE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b/>
          <w:i/>
          <w:sz w:val="28"/>
          <w:szCs w:val="28"/>
          <w:lang w:val="uk-UA"/>
        </w:rPr>
        <w:t>Дослід № 1. Визначення чутливості окремих ділянок язика до</w:t>
      </w:r>
    </w:p>
    <w:p w:rsidR="00F67AFE" w:rsidRPr="0010117B" w:rsidRDefault="00F67AFE" w:rsidP="00F67AFE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b/>
          <w:i/>
          <w:sz w:val="28"/>
          <w:szCs w:val="28"/>
          <w:lang w:val="uk-UA"/>
        </w:rPr>
        <w:t>різних смакових подразнень</w:t>
      </w:r>
    </w:p>
    <w:p w:rsidR="00F67AFE" w:rsidRPr="0010117B" w:rsidRDefault="00F67AFE" w:rsidP="00F67AF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Матеріали та обладнання: розчин цукру, солі, лимонної кислоти, гірчиці, кожний у концентрації 1,0, 0,1, 0,01, 0,001%; для цукру додатково – 2%, для гірчиці – 0,0001%. Вода, очні піпетки, скляночки або пробірки.</w:t>
      </w:r>
    </w:p>
    <w:p w:rsidR="00F67AFE" w:rsidRPr="0010117B" w:rsidRDefault="00F67AFE" w:rsidP="00F67AFE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b/>
          <w:sz w:val="28"/>
          <w:szCs w:val="28"/>
          <w:lang w:val="uk-UA"/>
        </w:rPr>
        <w:t>Хід роботи:</w:t>
      </w:r>
    </w:p>
    <w:p w:rsidR="00F67AFE" w:rsidRPr="0010117B" w:rsidRDefault="00F67AFE" w:rsidP="00F67AF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На різні ділянки язика обстежуваного (кінчик, край, середня частина спинки, корінь) наносять крапельки розчинів (найбільшої концентрації) солі, гірчиці, лимонної кислоти та цукру.</w:t>
      </w:r>
    </w:p>
    <w:p w:rsidR="00F67AFE" w:rsidRPr="0010117B" w:rsidRDefault="00F67AFE" w:rsidP="00F67AF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 xml:space="preserve">Обстежуваний не повинен знаті який розчин наносять йому на ту чи іншу ділянку язика, бо його завдання – визначити смак розчину. </w:t>
      </w:r>
    </w:p>
    <w:p w:rsidR="00F67AFE" w:rsidRPr="0010117B" w:rsidRDefault="00F67AFE" w:rsidP="00F67AF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Результати досліджень записати в зошит і зробити висновки.</w:t>
      </w:r>
    </w:p>
    <w:p w:rsidR="00F67AFE" w:rsidRDefault="00F67AFE" w:rsidP="00F67AFE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F67AFE" w:rsidRDefault="00F67AFE" w:rsidP="00F67AFE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F67AFE" w:rsidRPr="0010117B" w:rsidRDefault="00F67AFE" w:rsidP="00F67AFE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К</w:t>
      </w:r>
      <w:r w:rsidRPr="0010117B">
        <w:rPr>
          <w:rFonts w:ascii="Times New Roman" w:hAnsi="Times New Roman" w:cs="Times New Roman"/>
          <w:b/>
          <w:i/>
          <w:sz w:val="28"/>
          <w:szCs w:val="28"/>
          <w:lang w:val="uk-UA"/>
        </w:rPr>
        <w:t>онтрольні запитання:</w:t>
      </w:r>
    </w:p>
    <w:p w:rsidR="00F67AFE" w:rsidRPr="0010117B" w:rsidRDefault="00F67AFE" w:rsidP="00F67AF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Теорії сприйняття смаку.</w:t>
      </w:r>
    </w:p>
    <w:p w:rsidR="00F67AFE" w:rsidRPr="0010117B" w:rsidRDefault="00F67AFE" w:rsidP="00F67AFE">
      <w:pPr>
        <w:pStyle w:val="a3"/>
        <w:numPr>
          <w:ilvl w:val="0"/>
          <w:numId w:val="3"/>
        </w:numPr>
        <w:spacing w:after="0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Вікові особливості смакового аналізатора.</w:t>
      </w:r>
    </w:p>
    <w:p w:rsidR="00F67AFE" w:rsidRPr="00F56DA7" w:rsidRDefault="00F67AFE" w:rsidP="00F67AFE">
      <w:pPr>
        <w:pStyle w:val="a3"/>
        <w:numPr>
          <w:ilvl w:val="0"/>
          <w:numId w:val="3"/>
        </w:numPr>
        <w:spacing w:after="0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Взаємодія аналізаторів.</w:t>
      </w:r>
    </w:p>
    <w:p w:rsidR="00F67AFE" w:rsidRDefault="00F67AFE" w:rsidP="00F67AF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7AFE" w:rsidRPr="004B5981" w:rsidRDefault="00F67AFE" w:rsidP="00F67AFE">
      <w:pPr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F67AFE" w:rsidRDefault="00F67AFE" w:rsidP="00F67AFE">
      <w:pPr>
        <w:tabs>
          <w:tab w:val="left" w:pos="1064"/>
          <w:tab w:val="center" w:pos="467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F67AFE" w:rsidRDefault="00F67AF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F67AFE" w:rsidRPr="004B5981" w:rsidRDefault="00F67AFE" w:rsidP="00F67AFE">
      <w:pPr>
        <w:tabs>
          <w:tab w:val="left" w:pos="1064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Література</w:t>
      </w:r>
    </w:p>
    <w:p w:rsidR="00F67AFE" w:rsidRPr="004B5981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Антипчук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Ю. П. Анатом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ф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олог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я дитини (з основами 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шк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льної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єни). </w:t>
      </w:r>
      <w:r w:rsidRPr="004B5981">
        <w:rPr>
          <w:rFonts w:ascii="Times New Roman" w:hAnsi="Times New Roman" w:cs="Times New Roman"/>
          <w:sz w:val="28"/>
          <w:szCs w:val="28"/>
        </w:rPr>
        <w:t xml:space="preserve">Практикум.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Антипчук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Ю. П., Вожик Й. Б.,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Лебедєва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С.,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Лунiна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В. – К.: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школа, 1984. – 384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67AFE" w:rsidRPr="004B5981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Батуев А. С. Физиология плода и детей / Батуев А. С.,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Глебовский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В. А., и др.; Под ред. В.Д.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Глебовского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. – М.: Медицина, 1988. – 224 с.</w:t>
      </w:r>
    </w:p>
    <w:p w:rsidR="00F67AFE" w:rsidRPr="004B5981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4B5981"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М. М. Возрастная физиология: (Физиология развития ребенка) / Безруких М. М., Сонькин В. Д., Фарбер Д. А. – М.: Издательский центр «Академия», 2002. – 416 с.</w:t>
      </w:r>
    </w:p>
    <w:p w:rsidR="00F67AFE" w:rsidRPr="004B5981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Виноградов О. О.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Вікова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фізіологія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: метод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ек. до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/ О. О. Виноградов, О. А. Виноградов, О. Д.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Боярчук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Луган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нац.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–т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Тараса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». –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Луганськ</w:t>
      </w:r>
      <w:proofErr w:type="spellEnd"/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Вид–во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ДЗ «ЛНУ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Тараса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», 2010. – 50 с.</w:t>
      </w:r>
    </w:p>
    <w:p w:rsidR="00F67AFE" w:rsidRPr="004B5981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>Гальперин С. И. Анатомия и физиология человека / С. И. Гальперин. – М.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Медицина, 1974. – 468 с.</w:t>
      </w:r>
    </w:p>
    <w:p w:rsidR="00F67AFE" w:rsidRPr="004B5981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Даценко Й. І.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ієна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занять / Даценко Й. І. –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Афі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ша</w:t>
      </w:r>
      <w:proofErr w:type="spellEnd"/>
      <w:proofErr w:type="gramEnd"/>
      <w:r w:rsidRPr="004B5981">
        <w:rPr>
          <w:rFonts w:ascii="Times New Roman" w:hAnsi="Times New Roman" w:cs="Times New Roman"/>
          <w:sz w:val="28"/>
          <w:szCs w:val="28"/>
        </w:rPr>
        <w:t>, 1988. – 146 с.</w:t>
      </w:r>
    </w:p>
    <w:p w:rsidR="00F67AFE" w:rsidRPr="004B5981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Колосова Т. С. Лабораторный практикум по экологии человека: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–методическое пособие / Колосова Т. С., Морозова Л. В. – Архангельск: Поморский государственный университет, 2002. – 181 с. ЛІТЕРАТУРА ВІКОВА АНАТОМІЯ ТА ФІ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ІОЛОГІЯ Практикум 250</w:t>
      </w:r>
    </w:p>
    <w:p w:rsidR="00F67AFE" w:rsidRPr="004B5981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>Леонтьева Н. Н. Анатомия и физиология детского организма: (Внутренние органы) / Леонтьева Н. Н., Маринова К. В. – М.: Просвещение, 1976. – 239 с.</w:t>
      </w:r>
    </w:p>
    <w:p w:rsidR="00F67AFE" w:rsidRPr="004B5981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Леонтьева Н. Н. Анатомия и физиология детского организма: (Основы учения о клетке и развитии организма, нервная система,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опорн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двигательный аппарат) / Леонтьева Н. Н., Маринова К. В. – М.: Просвещение, 1986. – 287с.</w:t>
      </w:r>
    </w:p>
    <w:p w:rsidR="00F67AFE" w:rsidRPr="004B5981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Лысова Н. Ф. Возрастная анатомия, физиология и школьная гигиена / Лысова Н. Ф.,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Р. И., Завьялова Я. Л.,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Ширшова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В. М. – Новосибирск: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Сиб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нив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–во, 2009. – 398с.</w:t>
      </w:r>
    </w:p>
    <w:p w:rsidR="00F67AFE" w:rsidRPr="004B5981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Маркелова Е. В. Физиология: методическое пособие для студентов институтов физической культуры / Маркелова Е. В.. – Владивосток: МГУ им. </w:t>
      </w:r>
      <w:proofErr w:type="spellStart"/>
      <w:proofErr w:type="gramStart"/>
      <w:r w:rsidRPr="004B5981">
        <w:rPr>
          <w:rFonts w:ascii="Times New Roman" w:hAnsi="Times New Roman" w:cs="Times New Roman"/>
          <w:sz w:val="28"/>
          <w:szCs w:val="28"/>
        </w:rPr>
        <w:t>адм</w:t>
      </w:r>
      <w:proofErr w:type="spellEnd"/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Г. И.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, – 2009. – 106 с.</w:t>
      </w:r>
    </w:p>
    <w:p w:rsidR="00F67AFE" w:rsidRPr="004B5981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Назарова Е. Н. Возрастная анатомия и физиология / Назарова Е. Н.,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Жилов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Ю. Д. – М. Издательский центр «Академия», 2008. – 272с.</w:t>
      </w:r>
    </w:p>
    <w:p w:rsidR="00F67AFE" w:rsidRPr="004B5981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lastRenderedPageBreak/>
        <w:t>Обреимова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И. Основы анатомии, физиологии и гигиены детей и подростков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Обреимова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И., Петрухина А. С. – М.: Издательский центр «Академия», 2000. – 376 с.</w:t>
      </w:r>
    </w:p>
    <w:p w:rsidR="00F67AFE" w:rsidRPr="004B5981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Рожков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І. М. Вікова фізіологія: методичні вказівки/ 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Рожков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І. М., 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Спринь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О.Б., Голяка С. К. – Миколаїв, 2008. – 41 с.</w:t>
      </w:r>
    </w:p>
    <w:p w:rsidR="00F67AFE" w:rsidRPr="004B5981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Р. М. Анатомия и физиология детей и подростков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Р. М.,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Брыксина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З. Г. – М.: Издательский центр «Академия», 2004. – 456 с.</w:t>
      </w:r>
    </w:p>
    <w:p w:rsidR="00F67AFE" w:rsidRPr="004B5981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М. Р. Атлас анатомии человека для стоматологов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М. Р., Никитюк Д. Б., Литвиненко Л. М. – М.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Медицина, 2009. – 533 с.</w:t>
      </w:r>
    </w:p>
    <w:p w:rsidR="00F67AFE" w:rsidRPr="004B5981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Смирнов Н. К.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ВІКОВА АНАТОМІЯ ТА ФІ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ІОЛОГІЯ Практикум 251 образовательные технологии и психология здоровья в школе / Смирнов Н. К. – М.: АРКТИ, 2005. – 320 с.</w:t>
      </w:r>
    </w:p>
    <w:p w:rsidR="00F67AFE" w:rsidRPr="004B5981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>Современные технологии сохранения и укрепления здоровья детей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од общ. Ред. Н. В.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Сократова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. – М.: ТЦ Сфера, 2005. – 224 с.</w:t>
      </w:r>
    </w:p>
    <w:p w:rsidR="00F67AFE" w:rsidRPr="004B5981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Фізичний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B598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регіонів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ред. А. М. Сердюка, Н. С. Польки. – К.: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Деркул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, 2003. – 232 с.</w:t>
      </w:r>
    </w:p>
    <w:p w:rsidR="00F67AFE" w:rsidRPr="004B5981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>Хрипкова А. Г. Возрастная физиология и школьная гигиена / Хрипкова А. Г., Антропова М. В., Фарбер Д. А. – М.: Просвещение, 1990. – 319 с.</w:t>
      </w:r>
    </w:p>
    <w:p w:rsidR="00F67AFE" w:rsidRPr="004B5981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Шмалєй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С. В. Фізіологія вищої нервової діяльності.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Шмалєй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С. В.,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Гасюк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О. М., Головченко І. В., Редька І. В. – Херсон: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Вид–во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ХДУ, 2007. – 58 с.</w:t>
      </w:r>
    </w:p>
    <w:p w:rsidR="00F67AFE" w:rsidRPr="0010117B" w:rsidRDefault="00F67AFE" w:rsidP="00F67AFE">
      <w:pPr>
        <w:pStyle w:val="a3"/>
        <w:spacing w:after="0"/>
        <w:jc w:val="both"/>
        <w:rPr>
          <w:lang w:val="uk-UA"/>
        </w:rPr>
      </w:pPr>
    </w:p>
    <w:p w:rsidR="00B0434F" w:rsidRPr="00F67AFE" w:rsidRDefault="00B0434F">
      <w:pPr>
        <w:rPr>
          <w:lang w:val="uk-UA"/>
        </w:rPr>
      </w:pPr>
    </w:p>
    <w:sectPr w:rsidR="00B0434F" w:rsidRPr="00F67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23F8D"/>
    <w:multiLevelType w:val="hybridMultilevel"/>
    <w:tmpl w:val="E80E0032"/>
    <w:lvl w:ilvl="0" w:tplc="F84629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510638"/>
    <w:multiLevelType w:val="hybridMultilevel"/>
    <w:tmpl w:val="72523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91989"/>
    <w:multiLevelType w:val="hybridMultilevel"/>
    <w:tmpl w:val="B4AC9F42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F22A3"/>
    <w:multiLevelType w:val="hybridMultilevel"/>
    <w:tmpl w:val="75E8B302"/>
    <w:lvl w:ilvl="0" w:tplc="F84629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3A"/>
    <w:rsid w:val="00006DCB"/>
    <w:rsid w:val="00026415"/>
    <w:rsid w:val="00061066"/>
    <w:rsid w:val="000657A1"/>
    <w:rsid w:val="00095522"/>
    <w:rsid w:val="000A39A7"/>
    <w:rsid w:val="000F47C2"/>
    <w:rsid w:val="00111881"/>
    <w:rsid w:val="0011428C"/>
    <w:rsid w:val="001378C9"/>
    <w:rsid w:val="00152455"/>
    <w:rsid w:val="00183E15"/>
    <w:rsid w:val="0019081F"/>
    <w:rsid w:val="00193D19"/>
    <w:rsid w:val="001A6557"/>
    <w:rsid w:val="001B7822"/>
    <w:rsid w:val="001C3EC4"/>
    <w:rsid w:val="001C58BD"/>
    <w:rsid w:val="001D4B1D"/>
    <w:rsid w:val="001F0271"/>
    <w:rsid w:val="001F694A"/>
    <w:rsid w:val="00210766"/>
    <w:rsid w:val="00216017"/>
    <w:rsid w:val="0022367E"/>
    <w:rsid w:val="002318CD"/>
    <w:rsid w:val="00247245"/>
    <w:rsid w:val="002633AE"/>
    <w:rsid w:val="0027677F"/>
    <w:rsid w:val="00292DEE"/>
    <w:rsid w:val="00293A9B"/>
    <w:rsid w:val="002C346B"/>
    <w:rsid w:val="002C4E95"/>
    <w:rsid w:val="00335923"/>
    <w:rsid w:val="00350A7F"/>
    <w:rsid w:val="00363026"/>
    <w:rsid w:val="003979D9"/>
    <w:rsid w:val="003B758D"/>
    <w:rsid w:val="003F6A15"/>
    <w:rsid w:val="00415A48"/>
    <w:rsid w:val="004412B2"/>
    <w:rsid w:val="00442201"/>
    <w:rsid w:val="004503BB"/>
    <w:rsid w:val="00464992"/>
    <w:rsid w:val="00483FA3"/>
    <w:rsid w:val="004D5E2B"/>
    <w:rsid w:val="004E23EE"/>
    <w:rsid w:val="0053702C"/>
    <w:rsid w:val="00552BB4"/>
    <w:rsid w:val="00556B68"/>
    <w:rsid w:val="005575B9"/>
    <w:rsid w:val="0059246B"/>
    <w:rsid w:val="005F0EDC"/>
    <w:rsid w:val="005F32F1"/>
    <w:rsid w:val="005F7536"/>
    <w:rsid w:val="00602915"/>
    <w:rsid w:val="00606F53"/>
    <w:rsid w:val="006337A1"/>
    <w:rsid w:val="006347D0"/>
    <w:rsid w:val="00670D7E"/>
    <w:rsid w:val="0067606E"/>
    <w:rsid w:val="00691708"/>
    <w:rsid w:val="006A079E"/>
    <w:rsid w:val="006A09D6"/>
    <w:rsid w:val="006A68C8"/>
    <w:rsid w:val="006B49C2"/>
    <w:rsid w:val="006C7FA0"/>
    <w:rsid w:val="006D21E0"/>
    <w:rsid w:val="006F2BC1"/>
    <w:rsid w:val="006F2E1B"/>
    <w:rsid w:val="00711335"/>
    <w:rsid w:val="00716A39"/>
    <w:rsid w:val="00761E85"/>
    <w:rsid w:val="00765AC6"/>
    <w:rsid w:val="00791942"/>
    <w:rsid w:val="007A135A"/>
    <w:rsid w:val="007A4B7F"/>
    <w:rsid w:val="007A563A"/>
    <w:rsid w:val="007B46C4"/>
    <w:rsid w:val="007E4178"/>
    <w:rsid w:val="007E5FB6"/>
    <w:rsid w:val="0083224B"/>
    <w:rsid w:val="00857926"/>
    <w:rsid w:val="00890EC5"/>
    <w:rsid w:val="00891DAA"/>
    <w:rsid w:val="008B0821"/>
    <w:rsid w:val="008E63BA"/>
    <w:rsid w:val="00900BAE"/>
    <w:rsid w:val="00934E3E"/>
    <w:rsid w:val="009407FC"/>
    <w:rsid w:val="0094201A"/>
    <w:rsid w:val="00962FE3"/>
    <w:rsid w:val="00977564"/>
    <w:rsid w:val="0098228E"/>
    <w:rsid w:val="0098264D"/>
    <w:rsid w:val="009C334C"/>
    <w:rsid w:val="009D20E6"/>
    <w:rsid w:val="00A01723"/>
    <w:rsid w:val="00A0257E"/>
    <w:rsid w:val="00A05E8A"/>
    <w:rsid w:val="00A90298"/>
    <w:rsid w:val="00A942DC"/>
    <w:rsid w:val="00AD772D"/>
    <w:rsid w:val="00AF48B3"/>
    <w:rsid w:val="00B0434F"/>
    <w:rsid w:val="00B11342"/>
    <w:rsid w:val="00B22915"/>
    <w:rsid w:val="00B44CC5"/>
    <w:rsid w:val="00B51B70"/>
    <w:rsid w:val="00B535C6"/>
    <w:rsid w:val="00B6261C"/>
    <w:rsid w:val="00B91ABE"/>
    <w:rsid w:val="00BB0C97"/>
    <w:rsid w:val="00BB3119"/>
    <w:rsid w:val="00BC27D3"/>
    <w:rsid w:val="00BC281D"/>
    <w:rsid w:val="00BC5984"/>
    <w:rsid w:val="00BD72C5"/>
    <w:rsid w:val="00C21D7E"/>
    <w:rsid w:val="00C33026"/>
    <w:rsid w:val="00C44DAB"/>
    <w:rsid w:val="00C465BD"/>
    <w:rsid w:val="00C663C6"/>
    <w:rsid w:val="00C717E1"/>
    <w:rsid w:val="00C73C11"/>
    <w:rsid w:val="00C757F3"/>
    <w:rsid w:val="00CB1D02"/>
    <w:rsid w:val="00CD25D6"/>
    <w:rsid w:val="00CF347E"/>
    <w:rsid w:val="00D24924"/>
    <w:rsid w:val="00D31363"/>
    <w:rsid w:val="00D4693A"/>
    <w:rsid w:val="00DA2C63"/>
    <w:rsid w:val="00DC5C26"/>
    <w:rsid w:val="00DD7347"/>
    <w:rsid w:val="00E36ABE"/>
    <w:rsid w:val="00E41856"/>
    <w:rsid w:val="00E61FAE"/>
    <w:rsid w:val="00E8141D"/>
    <w:rsid w:val="00E93F74"/>
    <w:rsid w:val="00EA5105"/>
    <w:rsid w:val="00EE7549"/>
    <w:rsid w:val="00EF0D12"/>
    <w:rsid w:val="00F1356E"/>
    <w:rsid w:val="00F67AFE"/>
    <w:rsid w:val="00F91C8C"/>
    <w:rsid w:val="00FB6703"/>
    <w:rsid w:val="00FC1C8E"/>
    <w:rsid w:val="00FC53E8"/>
    <w:rsid w:val="00FD10F2"/>
    <w:rsid w:val="00FE2246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AFE"/>
    <w:pPr>
      <w:ind w:left="720"/>
      <w:contextualSpacing/>
    </w:pPr>
  </w:style>
  <w:style w:type="table" w:styleId="a4">
    <w:name w:val="Table Grid"/>
    <w:basedOn w:val="a1"/>
    <w:uiPriority w:val="59"/>
    <w:rsid w:val="00F67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7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A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AFE"/>
    <w:pPr>
      <w:ind w:left="720"/>
      <w:contextualSpacing/>
    </w:pPr>
  </w:style>
  <w:style w:type="table" w:styleId="a4">
    <w:name w:val="Table Grid"/>
    <w:basedOn w:val="a1"/>
    <w:uiPriority w:val="59"/>
    <w:rsid w:val="00F67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7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A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940</Words>
  <Characters>5364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3</cp:revision>
  <dcterms:created xsi:type="dcterms:W3CDTF">2020-03-20T05:49:00Z</dcterms:created>
  <dcterms:modified xsi:type="dcterms:W3CDTF">2020-03-20T06:08:00Z</dcterms:modified>
</cp:coreProperties>
</file>